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RETORNO DE EGRESSO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RA. Nº _______________, RG. Nº 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aluno (a) formado (a) na Fatec ___________________________  no Curso Superior de Tecnologia em ___________________________________, turno____________, venho requerer meu INGRESSO para a Faculdade de Tecnologia de Pindamonhangaba, para o Curso Superior de Tecnologia em ________________________________, turno __________.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01/2025 para Inscrições para RETORNO DE EGRESSO, no 1º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D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7vppQ+in0RSaczyLJAYeH4bzw==">CgMxLjAyCGguZ2pkZ3hzOAByITFCTkR5OGFNN3NDQkl6Z2RSbmJtYXcyWm9OUG9xWFhhZA==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