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5B49" w14:textId="77777777" w:rsidR="005B69FD" w:rsidRPr="00446CD7" w:rsidRDefault="005B69FD" w:rsidP="005B69FD">
      <w:pPr>
        <w:spacing w:after="0" w:line="240" w:lineRule="auto"/>
        <w:jc w:val="center"/>
        <w:rPr>
          <w:rFonts w:eastAsia="Times New Roman" w:cs="Times New Roman"/>
          <w:b/>
          <w:sz w:val="28"/>
          <w:szCs w:val="28"/>
          <w:lang w:eastAsia="pt-BR"/>
        </w:rPr>
      </w:pPr>
      <w:r w:rsidRPr="00446CD7">
        <w:rPr>
          <w:rFonts w:eastAsia="Times New Roman" w:cs="Times New Roman"/>
          <w:b/>
          <w:sz w:val="28"/>
          <w:szCs w:val="28"/>
          <w:lang w:eastAsia="pt-BR"/>
        </w:rPr>
        <w:t>QUADRO DEMONSTRATIVO DE FALTAS</w:t>
      </w:r>
      <w:r w:rsidR="009209AF" w:rsidRPr="00446CD7">
        <w:rPr>
          <w:rFonts w:eastAsia="Times New Roman" w:cs="Times New Roman"/>
          <w:b/>
          <w:sz w:val="28"/>
          <w:szCs w:val="28"/>
          <w:lang w:eastAsia="pt-BR"/>
        </w:rPr>
        <w:t xml:space="preserve"> </w:t>
      </w:r>
      <w:r w:rsidR="005E2B2C" w:rsidRPr="00446CD7">
        <w:rPr>
          <w:rFonts w:eastAsia="Times New Roman" w:cs="Times New Roman"/>
          <w:b/>
          <w:sz w:val="28"/>
          <w:szCs w:val="28"/>
          <w:lang w:eastAsia="pt-BR"/>
        </w:rPr>
        <w:t xml:space="preserve">QUE </w:t>
      </w:r>
      <w:r w:rsidR="0014788A">
        <w:rPr>
          <w:rFonts w:eastAsia="Times New Roman" w:cs="Times New Roman"/>
          <w:b/>
          <w:sz w:val="28"/>
          <w:szCs w:val="28"/>
          <w:lang w:eastAsia="pt-BR"/>
        </w:rPr>
        <w:t xml:space="preserve">IMPLICAM NA PERDA DO DIREITO ÀS </w:t>
      </w:r>
      <w:r w:rsidR="009209AF" w:rsidRPr="00446CD7">
        <w:rPr>
          <w:rFonts w:eastAsia="Times New Roman" w:cs="Times New Roman"/>
          <w:b/>
          <w:sz w:val="28"/>
          <w:szCs w:val="28"/>
          <w:lang w:eastAsia="pt-BR"/>
        </w:rPr>
        <w:t>FÉRIAS</w:t>
      </w:r>
    </w:p>
    <w:p w14:paraId="38725B4A" w14:textId="77777777" w:rsidR="005E2B2C" w:rsidRDefault="005E2B2C" w:rsidP="005B69FD">
      <w:pPr>
        <w:spacing w:after="0" w:line="240" w:lineRule="auto"/>
        <w:jc w:val="center"/>
        <w:rPr>
          <w:rFonts w:eastAsia="Times New Roman" w:cs="Times New Roman"/>
          <w:b/>
          <w:sz w:val="24"/>
          <w:szCs w:val="24"/>
          <w:lang w:eastAsia="pt-BR"/>
        </w:rPr>
      </w:pPr>
    </w:p>
    <w:p w14:paraId="38725B4B" w14:textId="77777777" w:rsidR="0014788A" w:rsidRPr="00876385" w:rsidRDefault="0014788A" w:rsidP="005B69FD">
      <w:pPr>
        <w:spacing w:after="0" w:line="240" w:lineRule="auto"/>
        <w:jc w:val="center"/>
        <w:rPr>
          <w:rFonts w:eastAsia="Times New Roman" w:cs="Times New Roman"/>
          <w:b/>
          <w:sz w:val="24"/>
          <w:szCs w:val="24"/>
          <w:lang w:eastAsia="pt-BR"/>
        </w:rPr>
      </w:pPr>
    </w:p>
    <w:p w14:paraId="38725B4C" w14:textId="77777777" w:rsidR="005B69FD" w:rsidRPr="00876385" w:rsidRDefault="005B69FD" w:rsidP="005B69FD">
      <w:pPr>
        <w:spacing w:after="0" w:line="240" w:lineRule="auto"/>
        <w:rPr>
          <w:rFonts w:eastAsia="Times New Roman" w:cs="Times New Roman"/>
          <w:sz w:val="20"/>
          <w:szCs w:val="20"/>
          <w:lang w:eastAsia="pt-BR"/>
        </w:rPr>
      </w:pPr>
    </w:p>
    <w:tbl>
      <w:tblPr>
        <w:tblW w:w="5088" w:type="dxa"/>
        <w:jc w:val="center"/>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5088"/>
      </w:tblGrid>
      <w:tr w:rsidR="00876385" w:rsidRPr="00876385" w14:paraId="38725B50" w14:textId="77777777" w:rsidTr="00F44728">
        <w:trPr>
          <w:jc w:val="center"/>
        </w:trPr>
        <w:tc>
          <w:tcPr>
            <w:tcW w:w="5088" w:type="dxa"/>
            <w:tcBorders>
              <w:top w:val="single" w:sz="12" w:space="0" w:color="auto"/>
              <w:bottom w:val="single" w:sz="4" w:space="0" w:color="auto"/>
            </w:tcBorders>
            <w:vAlign w:val="center"/>
          </w:tcPr>
          <w:p w14:paraId="38725B4D" w14:textId="77777777" w:rsidR="005E2B2C" w:rsidRPr="00876385" w:rsidRDefault="005E2B2C" w:rsidP="009209AF">
            <w:pPr>
              <w:spacing w:after="0" w:line="240" w:lineRule="auto"/>
              <w:jc w:val="center"/>
              <w:rPr>
                <w:rFonts w:eastAsia="Times New Roman" w:cs="Times New Roman"/>
                <w:b/>
                <w:sz w:val="20"/>
                <w:szCs w:val="20"/>
                <w:lang w:eastAsia="pt-BR"/>
              </w:rPr>
            </w:pPr>
          </w:p>
          <w:p w14:paraId="38725B4E" w14:textId="77777777" w:rsidR="005E2B2C" w:rsidRPr="00876385" w:rsidRDefault="005E2B2C" w:rsidP="005E2B2C">
            <w:pPr>
              <w:spacing w:after="0" w:line="240" w:lineRule="auto"/>
              <w:jc w:val="both"/>
              <w:rPr>
                <w:rFonts w:eastAsia="Times New Roman" w:cs="Times New Roman"/>
                <w:b/>
                <w:lang w:eastAsia="pt-BR"/>
              </w:rPr>
            </w:pPr>
            <w:r w:rsidRPr="00876385">
              <w:rPr>
                <w:rFonts w:eastAsia="Times New Roman" w:cs="Times New Roman"/>
                <w:b/>
                <w:lang w:eastAsia="pt-BR"/>
              </w:rPr>
              <w:t xml:space="preserve">NÃO TERÁ DIREITO A FÉRIAS O EMPREGADO QUE, </w:t>
            </w:r>
            <w:r w:rsidRPr="00876385">
              <w:rPr>
                <w:rFonts w:eastAsia="Times New Roman" w:cs="Times New Roman"/>
                <w:b/>
                <w:u w:val="single"/>
                <w:lang w:eastAsia="pt-BR"/>
              </w:rPr>
              <w:t>NO DECURSO DO PERÍODO AQUISITIVO</w:t>
            </w:r>
            <w:r w:rsidRPr="00876385">
              <w:rPr>
                <w:rFonts w:eastAsia="Times New Roman" w:cs="Times New Roman"/>
                <w:b/>
                <w:lang w:eastAsia="pt-BR"/>
              </w:rPr>
              <w:t>:</w:t>
            </w:r>
          </w:p>
          <w:p w14:paraId="38725B4F" w14:textId="77777777" w:rsidR="005E2B2C" w:rsidRPr="00876385" w:rsidRDefault="005E2B2C" w:rsidP="009209AF">
            <w:pPr>
              <w:spacing w:after="0" w:line="240" w:lineRule="auto"/>
              <w:jc w:val="center"/>
              <w:rPr>
                <w:rFonts w:eastAsia="Times New Roman" w:cs="Times New Roman"/>
                <w:b/>
                <w:sz w:val="20"/>
                <w:szCs w:val="20"/>
                <w:lang w:eastAsia="pt-BR"/>
              </w:rPr>
            </w:pPr>
          </w:p>
        </w:tc>
      </w:tr>
      <w:tr w:rsidR="00876385" w:rsidRPr="00876385" w14:paraId="38725B54" w14:textId="77777777" w:rsidTr="00F44728">
        <w:trPr>
          <w:jc w:val="center"/>
        </w:trPr>
        <w:tc>
          <w:tcPr>
            <w:tcW w:w="5088" w:type="dxa"/>
            <w:tcBorders>
              <w:top w:val="single" w:sz="4" w:space="0" w:color="auto"/>
              <w:bottom w:val="single" w:sz="8" w:space="0" w:color="auto"/>
            </w:tcBorders>
            <w:shd w:val="clear" w:color="auto" w:fill="auto"/>
            <w:vAlign w:val="center"/>
          </w:tcPr>
          <w:p w14:paraId="38725B51" w14:textId="77777777" w:rsidR="00446CD7" w:rsidRPr="00876385" w:rsidRDefault="00446CD7" w:rsidP="005E2B2C">
            <w:pPr>
              <w:spacing w:after="0" w:line="240" w:lineRule="auto"/>
              <w:jc w:val="both"/>
              <w:rPr>
                <w:rFonts w:eastAsia="Times New Roman" w:cs="Times New Roman"/>
                <w:b/>
                <w:sz w:val="20"/>
                <w:szCs w:val="20"/>
                <w:lang w:eastAsia="pt-BR"/>
              </w:rPr>
            </w:pPr>
          </w:p>
          <w:p w14:paraId="38725B52" w14:textId="77777777" w:rsidR="005E2B2C" w:rsidRPr="00876385" w:rsidRDefault="005E2B2C" w:rsidP="00E74B7E">
            <w:pPr>
              <w:pStyle w:val="PargrafodaLista"/>
              <w:numPr>
                <w:ilvl w:val="0"/>
                <w:numId w:val="1"/>
              </w:numPr>
              <w:spacing w:after="0" w:line="240" w:lineRule="auto"/>
              <w:ind w:left="405" w:hanging="405"/>
              <w:jc w:val="both"/>
              <w:rPr>
                <w:rFonts w:eastAsia="Times New Roman" w:cs="Times New Roman"/>
                <w:b/>
                <w:sz w:val="20"/>
                <w:szCs w:val="20"/>
                <w:lang w:eastAsia="pt-BR"/>
              </w:rPr>
            </w:pPr>
            <w:r w:rsidRPr="00876385">
              <w:rPr>
                <w:rFonts w:eastAsia="Times New Roman" w:cs="Times New Roman"/>
                <w:b/>
                <w:sz w:val="20"/>
                <w:szCs w:val="20"/>
                <w:lang w:eastAsia="pt-BR"/>
              </w:rPr>
              <w:t>Deixar o emprego e não for readmitido dentro de 60 (sessenta) dias subsequente à sua saída.</w:t>
            </w:r>
          </w:p>
          <w:p w14:paraId="38725B53" w14:textId="77777777" w:rsidR="00446CD7" w:rsidRPr="00876385" w:rsidRDefault="00446CD7" w:rsidP="005E2B2C">
            <w:pPr>
              <w:spacing w:after="0" w:line="240" w:lineRule="auto"/>
              <w:jc w:val="both"/>
              <w:rPr>
                <w:rFonts w:eastAsia="Times New Roman" w:cs="Times New Roman"/>
                <w:b/>
                <w:sz w:val="20"/>
                <w:szCs w:val="20"/>
                <w:lang w:eastAsia="pt-BR"/>
              </w:rPr>
            </w:pPr>
          </w:p>
        </w:tc>
      </w:tr>
      <w:tr w:rsidR="00876385" w:rsidRPr="00876385" w14:paraId="38725B58" w14:textId="77777777" w:rsidTr="00F44728">
        <w:trPr>
          <w:jc w:val="center"/>
        </w:trPr>
        <w:tc>
          <w:tcPr>
            <w:tcW w:w="5088" w:type="dxa"/>
            <w:tcBorders>
              <w:top w:val="single" w:sz="4" w:space="0" w:color="auto"/>
              <w:bottom w:val="single" w:sz="8" w:space="0" w:color="auto"/>
            </w:tcBorders>
            <w:shd w:val="clear" w:color="auto" w:fill="auto"/>
            <w:vAlign w:val="center"/>
          </w:tcPr>
          <w:p w14:paraId="38725B55" w14:textId="77777777" w:rsidR="00446CD7" w:rsidRPr="00876385" w:rsidRDefault="00446CD7" w:rsidP="005E2B2C">
            <w:pPr>
              <w:spacing w:after="0" w:line="240" w:lineRule="auto"/>
              <w:jc w:val="both"/>
              <w:rPr>
                <w:rFonts w:eastAsia="Times New Roman" w:cs="Times New Roman"/>
                <w:b/>
                <w:sz w:val="20"/>
                <w:szCs w:val="20"/>
                <w:lang w:eastAsia="pt-BR"/>
              </w:rPr>
            </w:pPr>
          </w:p>
          <w:p w14:paraId="17C2BE6A" w14:textId="2DA8AF37" w:rsidR="00E25F40" w:rsidRPr="00876385" w:rsidRDefault="00F44728" w:rsidP="00E25F40">
            <w:pPr>
              <w:pStyle w:val="PargrafodaLista"/>
              <w:numPr>
                <w:ilvl w:val="0"/>
                <w:numId w:val="1"/>
              </w:numPr>
              <w:spacing w:after="0" w:line="240" w:lineRule="auto"/>
              <w:ind w:left="405" w:hanging="425"/>
              <w:jc w:val="both"/>
              <w:rPr>
                <w:rFonts w:eastAsia="Times New Roman" w:cs="Times New Roman"/>
                <w:b/>
                <w:sz w:val="20"/>
                <w:szCs w:val="20"/>
                <w:lang w:eastAsia="pt-BR"/>
              </w:rPr>
            </w:pPr>
            <w:r w:rsidRPr="00876385">
              <w:rPr>
                <w:rFonts w:cs="Arial"/>
                <w:b/>
                <w:sz w:val="20"/>
                <w:szCs w:val="20"/>
                <w:shd w:val="clear" w:color="auto" w:fill="FFFFFF"/>
              </w:rPr>
              <w:t>Permanecer em gozo de afastamento</w:t>
            </w:r>
            <w:r w:rsidR="00793774" w:rsidRPr="00876385">
              <w:rPr>
                <w:rFonts w:cs="Arial"/>
                <w:b/>
                <w:sz w:val="20"/>
                <w:szCs w:val="20"/>
                <w:shd w:val="clear" w:color="auto" w:fill="FFFFFF"/>
              </w:rPr>
              <w:t>, com percepção de salários, por mais de 30 (trinta) dias</w:t>
            </w:r>
            <w:r w:rsidR="00872DD8" w:rsidRPr="00876385">
              <w:rPr>
                <w:rFonts w:eastAsia="Times New Roman" w:cs="Times New Roman"/>
                <w:b/>
                <w:sz w:val="20"/>
                <w:szCs w:val="20"/>
                <w:lang w:eastAsia="pt-BR"/>
              </w:rPr>
              <w:t xml:space="preserve"> pa</w:t>
            </w:r>
            <w:r w:rsidR="00960717" w:rsidRPr="00876385">
              <w:rPr>
                <w:rFonts w:eastAsia="Times New Roman" w:cs="Times New Roman"/>
                <w:b/>
                <w:sz w:val="20"/>
                <w:szCs w:val="20"/>
                <w:lang w:eastAsia="pt-BR"/>
              </w:rPr>
              <w:t>ra concorrer a pleito eleitoral</w:t>
            </w:r>
            <w:r w:rsidRPr="00876385">
              <w:rPr>
                <w:rFonts w:eastAsia="Times New Roman" w:cs="Times New Roman"/>
                <w:b/>
                <w:sz w:val="20"/>
                <w:szCs w:val="20"/>
                <w:lang w:eastAsia="pt-BR"/>
              </w:rPr>
              <w:t xml:space="preserve"> (desincompatibilização)</w:t>
            </w:r>
            <w:r w:rsidR="00793774" w:rsidRPr="00876385">
              <w:rPr>
                <w:rFonts w:eastAsia="Times New Roman" w:cs="Times New Roman"/>
                <w:b/>
                <w:sz w:val="20"/>
                <w:szCs w:val="20"/>
                <w:lang w:eastAsia="pt-BR"/>
              </w:rPr>
              <w:t>.</w:t>
            </w:r>
          </w:p>
          <w:p w14:paraId="38725B57" w14:textId="16FD1303" w:rsidR="00446CD7" w:rsidRPr="00876385" w:rsidRDefault="00446CD7" w:rsidP="00793774">
            <w:pPr>
              <w:pStyle w:val="PargrafodaLista"/>
              <w:spacing w:after="0" w:line="240" w:lineRule="auto"/>
              <w:ind w:left="405"/>
              <w:jc w:val="both"/>
              <w:rPr>
                <w:rFonts w:eastAsia="Times New Roman" w:cs="Times New Roman"/>
                <w:b/>
                <w:sz w:val="20"/>
                <w:szCs w:val="20"/>
                <w:lang w:eastAsia="pt-BR"/>
              </w:rPr>
            </w:pPr>
          </w:p>
        </w:tc>
      </w:tr>
      <w:tr w:rsidR="00876385" w:rsidRPr="00876385" w14:paraId="3C775B49" w14:textId="77777777" w:rsidTr="00F44728">
        <w:trPr>
          <w:jc w:val="center"/>
        </w:trPr>
        <w:tc>
          <w:tcPr>
            <w:tcW w:w="5088" w:type="dxa"/>
            <w:tcBorders>
              <w:top w:val="single" w:sz="4" w:space="0" w:color="auto"/>
              <w:bottom w:val="single" w:sz="8" w:space="0" w:color="auto"/>
            </w:tcBorders>
            <w:shd w:val="clear" w:color="auto" w:fill="auto"/>
            <w:vAlign w:val="center"/>
          </w:tcPr>
          <w:p w14:paraId="522DA748" w14:textId="3F760E4D" w:rsidR="000872EE" w:rsidRPr="00876385" w:rsidRDefault="006F2B2A" w:rsidP="00E84E63">
            <w:pPr>
              <w:pStyle w:val="PargrafodaLista"/>
              <w:numPr>
                <w:ilvl w:val="0"/>
                <w:numId w:val="1"/>
              </w:numPr>
              <w:tabs>
                <w:tab w:val="left" w:pos="444"/>
              </w:tabs>
              <w:spacing w:after="0" w:line="240" w:lineRule="auto"/>
              <w:ind w:left="444" w:hanging="444"/>
              <w:jc w:val="both"/>
              <w:rPr>
                <w:rFonts w:eastAsia="Times New Roman" w:cs="Times New Roman"/>
                <w:b/>
                <w:sz w:val="20"/>
                <w:szCs w:val="20"/>
                <w:lang w:eastAsia="pt-BR"/>
              </w:rPr>
            </w:pPr>
            <w:r w:rsidRPr="00876385">
              <w:rPr>
                <w:rFonts w:eastAsia="Times New Roman" w:cs="Times New Roman"/>
                <w:b/>
                <w:sz w:val="20"/>
                <w:szCs w:val="20"/>
                <w:lang w:eastAsia="pt-BR"/>
              </w:rPr>
              <w:t xml:space="preserve">Permanecer em gozo de </w:t>
            </w:r>
            <w:r w:rsidR="00CB6C7E" w:rsidRPr="00876385">
              <w:rPr>
                <w:rFonts w:eastAsia="Times New Roman" w:cs="Times New Roman"/>
                <w:b/>
                <w:sz w:val="20"/>
                <w:szCs w:val="20"/>
                <w:lang w:eastAsia="pt-BR"/>
              </w:rPr>
              <w:t>afastamento</w:t>
            </w:r>
            <w:r w:rsidRPr="00876385">
              <w:rPr>
                <w:rFonts w:eastAsia="Times New Roman" w:cs="Times New Roman"/>
                <w:b/>
                <w:sz w:val="20"/>
                <w:szCs w:val="20"/>
                <w:lang w:eastAsia="pt-BR"/>
              </w:rPr>
              <w:t>,</w:t>
            </w:r>
            <w:r w:rsidR="00CB6C7E" w:rsidRPr="00876385">
              <w:rPr>
                <w:rFonts w:eastAsia="Times New Roman" w:cs="Times New Roman"/>
                <w:b/>
                <w:sz w:val="20"/>
                <w:szCs w:val="20"/>
                <w:lang w:eastAsia="pt-BR"/>
              </w:rPr>
              <w:t xml:space="preserve"> </w:t>
            </w:r>
            <w:r w:rsidR="00EF3165" w:rsidRPr="00876385">
              <w:rPr>
                <w:rFonts w:eastAsia="Times New Roman" w:cs="Times New Roman"/>
                <w:b/>
                <w:sz w:val="20"/>
                <w:szCs w:val="20"/>
                <w:u w:val="single"/>
                <w:lang w:eastAsia="pt-BR"/>
              </w:rPr>
              <w:t>com percepção do salário, por mais de 30 (trinta) dias</w:t>
            </w:r>
            <w:r w:rsidR="00CB6C7E" w:rsidRPr="00876385">
              <w:rPr>
                <w:rFonts w:eastAsia="Times New Roman" w:cs="Times New Roman"/>
                <w:b/>
                <w:sz w:val="20"/>
                <w:szCs w:val="20"/>
                <w:lang w:eastAsia="pt-BR"/>
              </w:rPr>
              <w:t xml:space="preserve">, </w:t>
            </w:r>
            <w:r w:rsidR="008C4900" w:rsidRPr="00876385">
              <w:rPr>
                <w:rFonts w:eastAsia="Times New Roman" w:cs="Times New Roman"/>
                <w:b/>
                <w:sz w:val="20"/>
                <w:szCs w:val="20"/>
                <w:lang w:eastAsia="pt-BR"/>
              </w:rPr>
              <w:t>em virtude de medida cautelar</w:t>
            </w:r>
            <w:r w:rsidR="000872EE" w:rsidRPr="00876385">
              <w:rPr>
                <w:rFonts w:eastAsia="Times New Roman" w:cs="Times New Roman"/>
                <w:b/>
                <w:sz w:val="20"/>
                <w:szCs w:val="20"/>
                <w:lang w:eastAsia="pt-BR"/>
              </w:rPr>
              <w:t xml:space="preserve">, quando </w:t>
            </w:r>
            <w:r w:rsidR="00343D0F" w:rsidRPr="00876385">
              <w:rPr>
                <w:rFonts w:eastAsia="Times New Roman" w:cs="Times New Roman"/>
                <w:b/>
                <w:sz w:val="20"/>
                <w:szCs w:val="20"/>
                <w:lang w:eastAsia="pt-BR"/>
              </w:rPr>
              <w:t xml:space="preserve">condenado. </w:t>
            </w:r>
          </w:p>
        </w:tc>
      </w:tr>
      <w:tr w:rsidR="00876385" w:rsidRPr="00876385" w14:paraId="38725B5C" w14:textId="77777777" w:rsidTr="00F44728">
        <w:trPr>
          <w:jc w:val="center"/>
        </w:trPr>
        <w:tc>
          <w:tcPr>
            <w:tcW w:w="5088" w:type="dxa"/>
            <w:tcBorders>
              <w:top w:val="single" w:sz="4" w:space="0" w:color="auto"/>
              <w:bottom w:val="single" w:sz="8" w:space="0" w:color="auto"/>
            </w:tcBorders>
            <w:shd w:val="clear" w:color="auto" w:fill="auto"/>
            <w:vAlign w:val="center"/>
          </w:tcPr>
          <w:p w14:paraId="38725B59" w14:textId="77777777" w:rsidR="00446CD7" w:rsidRPr="00876385" w:rsidRDefault="00446CD7" w:rsidP="005E2B2C">
            <w:pPr>
              <w:spacing w:after="0" w:line="240" w:lineRule="auto"/>
              <w:jc w:val="both"/>
              <w:rPr>
                <w:rFonts w:eastAsia="Times New Roman" w:cs="Times New Roman"/>
                <w:b/>
                <w:sz w:val="20"/>
                <w:szCs w:val="20"/>
                <w:lang w:eastAsia="pt-BR"/>
              </w:rPr>
            </w:pPr>
          </w:p>
          <w:p w14:paraId="38725B5A" w14:textId="77777777" w:rsidR="005E2B2C" w:rsidRPr="00876385" w:rsidRDefault="005E2B2C" w:rsidP="00E74B7E">
            <w:pPr>
              <w:pStyle w:val="PargrafodaLista"/>
              <w:numPr>
                <w:ilvl w:val="0"/>
                <w:numId w:val="1"/>
              </w:numPr>
              <w:spacing w:after="0" w:line="240" w:lineRule="auto"/>
              <w:ind w:left="405" w:hanging="405"/>
              <w:jc w:val="both"/>
              <w:rPr>
                <w:rFonts w:eastAsia="Times New Roman" w:cs="Times New Roman"/>
                <w:b/>
                <w:sz w:val="20"/>
                <w:szCs w:val="20"/>
                <w:lang w:eastAsia="pt-BR"/>
              </w:rPr>
            </w:pPr>
            <w:r w:rsidRPr="00876385">
              <w:rPr>
                <w:rFonts w:eastAsia="Times New Roman" w:cs="Times New Roman"/>
                <w:b/>
                <w:sz w:val="20"/>
                <w:szCs w:val="20"/>
                <w:lang w:eastAsia="pt-BR"/>
              </w:rPr>
              <w:t xml:space="preserve">Deixar de trabalhar, </w:t>
            </w:r>
            <w:r w:rsidRPr="00876385">
              <w:rPr>
                <w:rFonts w:eastAsia="Times New Roman" w:cs="Times New Roman"/>
                <w:b/>
                <w:sz w:val="20"/>
                <w:szCs w:val="20"/>
                <w:u w:val="single"/>
                <w:lang w:eastAsia="pt-BR"/>
              </w:rPr>
              <w:t>com percepção do salário, por mais de 30 (trinta) dias</w:t>
            </w:r>
            <w:r w:rsidRPr="00876385">
              <w:rPr>
                <w:rFonts w:eastAsia="Times New Roman" w:cs="Times New Roman"/>
                <w:b/>
                <w:sz w:val="20"/>
                <w:szCs w:val="20"/>
                <w:lang w:eastAsia="pt-BR"/>
              </w:rPr>
              <w:t>, em virtude de paralisação parcial ou total dos serviços da empresa.</w:t>
            </w:r>
          </w:p>
          <w:p w14:paraId="38725B5B" w14:textId="77777777" w:rsidR="00446CD7" w:rsidRPr="00876385" w:rsidRDefault="00446CD7" w:rsidP="005E2B2C">
            <w:pPr>
              <w:spacing w:after="0" w:line="240" w:lineRule="auto"/>
              <w:jc w:val="both"/>
              <w:rPr>
                <w:rFonts w:eastAsia="Times New Roman" w:cs="Times New Roman"/>
                <w:b/>
                <w:sz w:val="20"/>
                <w:szCs w:val="20"/>
                <w:lang w:eastAsia="pt-BR"/>
              </w:rPr>
            </w:pPr>
          </w:p>
        </w:tc>
      </w:tr>
      <w:tr w:rsidR="00876385" w:rsidRPr="00876385" w14:paraId="38725B60" w14:textId="77777777" w:rsidTr="00F44728">
        <w:trPr>
          <w:trHeight w:val="959"/>
          <w:jc w:val="center"/>
        </w:trPr>
        <w:tc>
          <w:tcPr>
            <w:tcW w:w="5088" w:type="dxa"/>
            <w:tcBorders>
              <w:top w:val="single" w:sz="8" w:space="0" w:color="auto"/>
              <w:bottom w:val="single" w:sz="8" w:space="0" w:color="auto"/>
            </w:tcBorders>
            <w:shd w:val="clear" w:color="auto" w:fill="auto"/>
            <w:vAlign w:val="center"/>
          </w:tcPr>
          <w:p w14:paraId="38725B5D" w14:textId="77777777" w:rsidR="00446CD7" w:rsidRPr="00876385" w:rsidRDefault="00446CD7" w:rsidP="005E2B2C">
            <w:pPr>
              <w:spacing w:after="0" w:line="240" w:lineRule="auto"/>
              <w:jc w:val="both"/>
              <w:rPr>
                <w:rFonts w:eastAsia="Times New Roman" w:cs="Times New Roman"/>
                <w:b/>
                <w:sz w:val="20"/>
                <w:szCs w:val="20"/>
                <w:lang w:eastAsia="pt-BR"/>
              </w:rPr>
            </w:pPr>
          </w:p>
          <w:p w14:paraId="38725B5E" w14:textId="77777777" w:rsidR="005E2B2C" w:rsidRPr="00876385" w:rsidRDefault="005E2B2C" w:rsidP="00E74B7E">
            <w:pPr>
              <w:pStyle w:val="PargrafodaLista"/>
              <w:numPr>
                <w:ilvl w:val="0"/>
                <w:numId w:val="1"/>
              </w:numPr>
              <w:spacing w:after="0" w:line="240" w:lineRule="auto"/>
              <w:ind w:left="405" w:hanging="425"/>
              <w:jc w:val="both"/>
              <w:rPr>
                <w:rFonts w:eastAsia="Times New Roman" w:cs="Times New Roman"/>
                <w:b/>
                <w:sz w:val="20"/>
                <w:szCs w:val="20"/>
                <w:lang w:eastAsia="pt-BR"/>
              </w:rPr>
            </w:pPr>
            <w:r w:rsidRPr="00876385">
              <w:rPr>
                <w:rFonts w:eastAsia="Times New Roman" w:cs="Times New Roman"/>
                <w:b/>
                <w:sz w:val="20"/>
                <w:szCs w:val="20"/>
                <w:lang w:eastAsia="pt-BR"/>
              </w:rPr>
              <w:t>Tiver percebido da Previdência Social prestações de acidente de trabalho ou auxílio-doença</w:t>
            </w:r>
            <w:r w:rsidR="00157428" w:rsidRPr="00876385">
              <w:rPr>
                <w:rFonts w:eastAsia="Times New Roman" w:cs="Times New Roman"/>
                <w:b/>
                <w:sz w:val="19"/>
                <w:szCs w:val="19"/>
                <w:lang w:eastAsia="pt-BR"/>
              </w:rPr>
              <w:t xml:space="preserve">, </w:t>
            </w:r>
            <w:r w:rsidRPr="00876385">
              <w:rPr>
                <w:rFonts w:eastAsia="Times New Roman" w:cs="Times New Roman"/>
                <w:b/>
                <w:sz w:val="20"/>
                <w:szCs w:val="20"/>
                <w:u w:val="single"/>
                <w:lang w:eastAsia="pt-BR"/>
              </w:rPr>
              <w:t>por mais de 6 (seis) meses</w:t>
            </w:r>
            <w:r w:rsidRPr="00876385">
              <w:rPr>
                <w:rFonts w:eastAsia="Times New Roman" w:cs="Times New Roman"/>
                <w:b/>
                <w:sz w:val="20"/>
                <w:szCs w:val="20"/>
                <w:lang w:eastAsia="pt-BR"/>
              </w:rPr>
              <w:t xml:space="preserve">, </w:t>
            </w:r>
            <w:r w:rsidRPr="00876385">
              <w:rPr>
                <w:rFonts w:eastAsia="Times New Roman" w:cs="Times New Roman"/>
                <w:b/>
                <w:sz w:val="20"/>
                <w:szCs w:val="20"/>
                <w:u w:val="single"/>
                <w:lang w:eastAsia="pt-BR"/>
              </w:rPr>
              <w:t>embora descontínuos</w:t>
            </w:r>
            <w:r w:rsidRPr="00876385">
              <w:rPr>
                <w:rFonts w:eastAsia="Times New Roman" w:cs="Times New Roman"/>
                <w:b/>
                <w:sz w:val="20"/>
                <w:szCs w:val="20"/>
                <w:lang w:eastAsia="pt-BR"/>
              </w:rPr>
              <w:t>.</w:t>
            </w:r>
          </w:p>
          <w:p w14:paraId="38725B5F" w14:textId="77777777" w:rsidR="00446CD7" w:rsidRPr="00876385" w:rsidRDefault="00446CD7" w:rsidP="00FC6BDB">
            <w:pPr>
              <w:pStyle w:val="PargrafodaLista"/>
              <w:spacing w:after="0" w:line="240" w:lineRule="auto"/>
              <w:ind w:left="405"/>
              <w:jc w:val="both"/>
              <w:rPr>
                <w:rFonts w:eastAsia="Times New Roman" w:cs="Times New Roman"/>
                <w:b/>
                <w:sz w:val="20"/>
                <w:szCs w:val="20"/>
                <w:lang w:eastAsia="pt-BR"/>
              </w:rPr>
            </w:pPr>
          </w:p>
        </w:tc>
      </w:tr>
    </w:tbl>
    <w:p w14:paraId="38725B61" w14:textId="77777777" w:rsidR="005B69FD" w:rsidRDefault="005B69FD" w:rsidP="005E2B2C">
      <w:pPr>
        <w:spacing w:after="0" w:line="360" w:lineRule="auto"/>
        <w:jc w:val="both"/>
        <w:rPr>
          <w:rFonts w:eastAsia="Times New Roman" w:cs="Times New Roman"/>
          <w:b/>
          <w:bCs/>
          <w:sz w:val="18"/>
          <w:szCs w:val="18"/>
          <w:lang w:eastAsia="pt-BR"/>
        </w:rPr>
      </w:pPr>
    </w:p>
    <w:p w14:paraId="38725B62" w14:textId="77777777" w:rsidR="007D62D2" w:rsidRDefault="007D62D2" w:rsidP="005E2B2C">
      <w:pPr>
        <w:spacing w:after="0" w:line="360" w:lineRule="auto"/>
        <w:jc w:val="both"/>
        <w:rPr>
          <w:rFonts w:eastAsia="Times New Roman" w:cs="Times New Roman"/>
          <w:b/>
          <w:bCs/>
          <w:sz w:val="18"/>
          <w:szCs w:val="18"/>
          <w:lang w:eastAsia="pt-BR"/>
        </w:rPr>
      </w:pPr>
    </w:p>
    <w:p w14:paraId="38725B63" w14:textId="77777777" w:rsidR="0014788A" w:rsidRDefault="0014788A" w:rsidP="00E74B7E">
      <w:pPr>
        <w:spacing w:after="0" w:line="360" w:lineRule="auto"/>
        <w:jc w:val="both"/>
        <w:rPr>
          <w:rFonts w:eastAsia="Times New Roman" w:cs="Times New Roman"/>
          <w:b/>
          <w:bCs/>
          <w:sz w:val="18"/>
          <w:szCs w:val="18"/>
          <w:lang w:eastAsia="pt-BR"/>
        </w:rPr>
      </w:pPr>
    </w:p>
    <w:p w14:paraId="38725B64" w14:textId="77777777" w:rsidR="0014788A" w:rsidRDefault="0014788A" w:rsidP="00E74B7E">
      <w:pPr>
        <w:pStyle w:val="NormalWeb"/>
        <w:spacing w:before="0" w:beforeAutospacing="0" w:after="160" w:afterAutospacing="0"/>
        <w:ind w:left="426" w:hanging="426"/>
        <w:rPr>
          <w:rFonts w:asciiTheme="minorHAnsi" w:hAnsiTheme="minorHAnsi" w:cs="Arial"/>
          <w:sz w:val="24"/>
          <w:szCs w:val="24"/>
          <w:u w:val="double"/>
        </w:rPr>
      </w:pPr>
      <w:r w:rsidRPr="00E74B7E">
        <w:rPr>
          <w:rFonts w:asciiTheme="minorHAnsi" w:hAnsiTheme="minorHAnsi" w:cs="Arial"/>
          <w:b/>
          <w:sz w:val="24"/>
          <w:szCs w:val="24"/>
          <w:u w:val="double"/>
        </w:rPr>
        <w:t>OBSERVAÇÕES</w:t>
      </w:r>
      <w:r w:rsidRPr="00E74B7E">
        <w:rPr>
          <w:rFonts w:asciiTheme="minorHAnsi" w:hAnsiTheme="minorHAnsi" w:cs="Arial"/>
          <w:sz w:val="24"/>
          <w:szCs w:val="24"/>
          <w:u w:val="double"/>
        </w:rPr>
        <w:t>:</w:t>
      </w:r>
    </w:p>
    <w:p w14:paraId="368515B3" w14:textId="77777777" w:rsidR="004C0839" w:rsidRPr="00E74B7E" w:rsidRDefault="004C0839" w:rsidP="00E74B7E">
      <w:pPr>
        <w:pStyle w:val="NormalWeb"/>
        <w:spacing w:before="0" w:beforeAutospacing="0" w:after="160" w:afterAutospacing="0"/>
        <w:ind w:left="426" w:hanging="426"/>
        <w:rPr>
          <w:rFonts w:asciiTheme="minorHAnsi" w:hAnsiTheme="minorHAnsi" w:cs="Arial"/>
          <w:sz w:val="24"/>
          <w:szCs w:val="24"/>
          <w:u w:val="double"/>
        </w:rPr>
      </w:pPr>
    </w:p>
    <w:p w14:paraId="38725B66" w14:textId="533C38C3" w:rsidR="0014788A" w:rsidRDefault="001D223A" w:rsidP="00E74B7E">
      <w:pPr>
        <w:pStyle w:val="NormalWeb"/>
        <w:spacing w:before="0" w:beforeAutospacing="0" w:after="160" w:afterAutospacing="0"/>
        <w:ind w:left="426" w:hanging="426"/>
        <w:rPr>
          <w:rFonts w:asciiTheme="minorHAnsi" w:hAnsiTheme="minorHAnsi" w:cs="Arial"/>
          <w:sz w:val="24"/>
          <w:szCs w:val="24"/>
        </w:rPr>
      </w:pPr>
      <w:r>
        <w:rPr>
          <w:rFonts w:asciiTheme="minorHAnsi" w:hAnsiTheme="minorHAnsi" w:cs="Arial"/>
          <w:sz w:val="24"/>
          <w:szCs w:val="24"/>
        </w:rPr>
        <w:t>1</w:t>
      </w:r>
      <w:r w:rsidR="0014788A" w:rsidRPr="00E74B7E">
        <w:rPr>
          <w:rFonts w:asciiTheme="minorHAnsi" w:hAnsiTheme="minorHAnsi" w:cs="Arial"/>
          <w:sz w:val="24"/>
          <w:szCs w:val="24"/>
        </w:rPr>
        <w:t>.</w:t>
      </w:r>
      <w:r w:rsidR="00E74B7E">
        <w:rPr>
          <w:rFonts w:asciiTheme="minorHAnsi" w:hAnsiTheme="minorHAnsi" w:cs="Arial"/>
          <w:sz w:val="24"/>
          <w:szCs w:val="24"/>
        </w:rPr>
        <w:tab/>
      </w:r>
      <w:r w:rsidR="0014788A" w:rsidRPr="00E74B7E">
        <w:rPr>
          <w:rFonts w:asciiTheme="minorHAnsi" w:hAnsiTheme="minorHAnsi" w:cs="Arial"/>
          <w:sz w:val="24"/>
          <w:szCs w:val="24"/>
        </w:rPr>
        <w:t xml:space="preserve">Para os fins previstos na alínea </w:t>
      </w:r>
      <w:r w:rsidR="0014788A" w:rsidRPr="00B42A06">
        <w:rPr>
          <w:rFonts w:asciiTheme="minorHAnsi" w:hAnsiTheme="minorHAnsi" w:cs="Arial"/>
          <w:color w:val="auto"/>
          <w:sz w:val="24"/>
          <w:szCs w:val="24"/>
        </w:rPr>
        <w:t>“</w:t>
      </w:r>
      <w:r w:rsidR="00A07D6B" w:rsidRPr="00B42A06">
        <w:rPr>
          <w:rFonts w:asciiTheme="minorHAnsi" w:hAnsiTheme="minorHAnsi" w:cs="Arial"/>
          <w:color w:val="auto"/>
          <w:sz w:val="24"/>
          <w:szCs w:val="24"/>
        </w:rPr>
        <w:t>d</w:t>
      </w:r>
      <w:r w:rsidR="0014788A" w:rsidRPr="00B42A06">
        <w:rPr>
          <w:rFonts w:asciiTheme="minorHAnsi" w:hAnsiTheme="minorHAnsi" w:cs="Arial"/>
          <w:color w:val="auto"/>
          <w:sz w:val="24"/>
          <w:szCs w:val="24"/>
        </w:rPr>
        <w:t xml:space="preserve">”, o </w:t>
      </w:r>
      <w:r w:rsidR="0014788A" w:rsidRPr="00E74B7E">
        <w:rPr>
          <w:rFonts w:asciiTheme="minorHAnsi" w:hAnsiTheme="minorHAnsi" w:cs="Arial"/>
          <w:sz w:val="24"/>
          <w:szCs w:val="24"/>
        </w:rPr>
        <w:t>Ministério do Trabalho deve ser comunicado, com antecedência mínima de 15 (quinze) dias, as datas de início e fim da paralisação total ou parcial dos serviços da empresa, e, em igual prazo, comunicará, nos mesmos termos, ao sindicato representativo da categoria profissional, bem como afixará aviso nos respectivos locais de trabalho.</w:t>
      </w:r>
    </w:p>
    <w:p w14:paraId="07124917" w14:textId="77777777" w:rsidR="004C0839" w:rsidRDefault="004C0839" w:rsidP="00E74B7E">
      <w:pPr>
        <w:pStyle w:val="NormalWeb"/>
        <w:spacing w:before="0" w:beforeAutospacing="0" w:after="160" w:afterAutospacing="0"/>
        <w:ind w:left="426" w:hanging="426"/>
        <w:rPr>
          <w:rFonts w:asciiTheme="minorHAnsi" w:hAnsiTheme="minorHAnsi" w:cs="Arial"/>
          <w:sz w:val="24"/>
          <w:szCs w:val="24"/>
        </w:rPr>
      </w:pPr>
    </w:p>
    <w:p w14:paraId="519D94A4" w14:textId="3C3DCA77" w:rsidR="003F1F09" w:rsidRPr="00B350C5" w:rsidRDefault="001D223A" w:rsidP="00E74B7E">
      <w:pPr>
        <w:pStyle w:val="NormalWeb"/>
        <w:spacing w:before="0" w:beforeAutospacing="0" w:after="160" w:afterAutospacing="0"/>
        <w:ind w:left="426" w:hanging="426"/>
        <w:rPr>
          <w:rFonts w:asciiTheme="minorHAnsi" w:hAnsiTheme="minorHAnsi" w:cstheme="minorHAnsi"/>
          <w:b/>
          <w:sz w:val="24"/>
          <w:szCs w:val="24"/>
        </w:rPr>
      </w:pPr>
      <w:r>
        <w:rPr>
          <w:rFonts w:asciiTheme="minorHAnsi" w:hAnsiTheme="minorHAnsi" w:cs="Arial"/>
          <w:sz w:val="24"/>
          <w:szCs w:val="24"/>
        </w:rPr>
        <w:t>2</w:t>
      </w:r>
      <w:r w:rsidR="00B350C5">
        <w:rPr>
          <w:rFonts w:asciiTheme="minorHAnsi" w:hAnsiTheme="minorHAnsi" w:cs="Arial"/>
          <w:sz w:val="24"/>
          <w:szCs w:val="24"/>
        </w:rPr>
        <w:t>.</w:t>
      </w:r>
      <w:r w:rsidR="00B350C5">
        <w:rPr>
          <w:rFonts w:asciiTheme="minorHAnsi" w:hAnsiTheme="minorHAnsi" w:cs="Arial"/>
          <w:sz w:val="24"/>
          <w:szCs w:val="24"/>
        </w:rPr>
        <w:tab/>
      </w:r>
      <w:r w:rsidR="00B350C5" w:rsidRPr="00B350C5">
        <w:rPr>
          <w:rFonts w:asciiTheme="minorHAnsi" w:hAnsiTheme="minorHAnsi" w:cstheme="minorHAnsi"/>
          <w:sz w:val="24"/>
          <w:szCs w:val="24"/>
        </w:rPr>
        <w:t xml:space="preserve">O Diretor de Serviço da área administrativa deve comunicar o empregado, por </w:t>
      </w:r>
      <w:r>
        <w:rPr>
          <w:rFonts w:asciiTheme="minorHAnsi" w:hAnsiTheme="minorHAnsi" w:cstheme="minorHAnsi"/>
          <w:sz w:val="24"/>
          <w:szCs w:val="24"/>
        </w:rPr>
        <w:t>meio do SigURH</w:t>
      </w:r>
      <w:r w:rsidR="00B350C5" w:rsidRPr="00B350C5">
        <w:rPr>
          <w:rFonts w:asciiTheme="minorHAnsi" w:hAnsiTheme="minorHAnsi" w:cstheme="minorHAnsi"/>
          <w:sz w:val="24"/>
          <w:szCs w:val="24"/>
        </w:rPr>
        <w:t>, com antecedência mínima de 30 (trinta) dias</w:t>
      </w:r>
      <w:r w:rsidR="004C0839">
        <w:rPr>
          <w:rFonts w:asciiTheme="minorHAnsi" w:hAnsiTheme="minorHAnsi" w:cstheme="minorHAnsi"/>
          <w:sz w:val="24"/>
          <w:szCs w:val="24"/>
        </w:rPr>
        <w:t>,</w:t>
      </w:r>
      <w:r w:rsidR="004C0839" w:rsidRPr="004C0839">
        <w:t xml:space="preserve"> </w:t>
      </w:r>
      <w:r w:rsidR="004C0839" w:rsidRPr="004C0839">
        <w:rPr>
          <w:rFonts w:asciiTheme="minorHAnsi" w:hAnsiTheme="minorHAnsi" w:cstheme="minorHAnsi"/>
          <w:sz w:val="24"/>
          <w:szCs w:val="24"/>
        </w:rPr>
        <w:t xml:space="preserve">o qual dará ciência no ambiente de Férias disponível na área do </w:t>
      </w:r>
      <w:r w:rsidR="00E4609E">
        <w:rPr>
          <w:rFonts w:asciiTheme="minorHAnsi" w:hAnsiTheme="minorHAnsi" w:cstheme="minorHAnsi"/>
          <w:sz w:val="24"/>
          <w:szCs w:val="24"/>
        </w:rPr>
        <w:t>s</w:t>
      </w:r>
      <w:r w:rsidR="004C0839" w:rsidRPr="004C0839">
        <w:rPr>
          <w:rFonts w:asciiTheme="minorHAnsi" w:hAnsiTheme="minorHAnsi" w:cstheme="minorHAnsi"/>
          <w:sz w:val="24"/>
          <w:szCs w:val="24"/>
        </w:rPr>
        <w:t>ervidor no SigURH.</w:t>
      </w:r>
    </w:p>
    <w:sectPr w:rsidR="003F1F09" w:rsidRPr="00B350C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B2B4" w14:textId="77777777" w:rsidR="00FA0241" w:rsidRDefault="00FA0241" w:rsidP="006B0F6E">
      <w:pPr>
        <w:spacing w:after="0" w:line="240" w:lineRule="auto"/>
      </w:pPr>
      <w:r>
        <w:separator/>
      </w:r>
    </w:p>
  </w:endnote>
  <w:endnote w:type="continuationSeparator" w:id="0">
    <w:p w14:paraId="64764B1F" w14:textId="77777777" w:rsidR="00FA0241" w:rsidRDefault="00FA0241" w:rsidP="006B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9301" w14:textId="77777777" w:rsidR="00FA0241" w:rsidRDefault="00FA0241" w:rsidP="006B0F6E">
      <w:pPr>
        <w:spacing w:after="0" w:line="240" w:lineRule="auto"/>
      </w:pPr>
      <w:r>
        <w:separator/>
      </w:r>
    </w:p>
  </w:footnote>
  <w:footnote w:type="continuationSeparator" w:id="0">
    <w:p w14:paraId="45B1CEBB" w14:textId="77777777" w:rsidR="00FA0241" w:rsidRDefault="00FA0241" w:rsidP="006B0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312B"/>
    <w:multiLevelType w:val="hybridMultilevel"/>
    <w:tmpl w:val="F33CCC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79826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9FD"/>
    <w:rsid w:val="00012413"/>
    <w:rsid w:val="000872EE"/>
    <w:rsid w:val="000C728C"/>
    <w:rsid w:val="0010112C"/>
    <w:rsid w:val="00144CD6"/>
    <w:rsid w:val="0014788A"/>
    <w:rsid w:val="0015029B"/>
    <w:rsid w:val="00157428"/>
    <w:rsid w:val="00176224"/>
    <w:rsid w:val="001D223A"/>
    <w:rsid w:val="00205529"/>
    <w:rsid w:val="002442D5"/>
    <w:rsid w:val="002D6149"/>
    <w:rsid w:val="003057D3"/>
    <w:rsid w:val="00343D0F"/>
    <w:rsid w:val="0035227E"/>
    <w:rsid w:val="00366872"/>
    <w:rsid w:val="003C55E0"/>
    <w:rsid w:val="003F1F09"/>
    <w:rsid w:val="00446CD7"/>
    <w:rsid w:val="00473940"/>
    <w:rsid w:val="004C05D3"/>
    <w:rsid w:val="004C0839"/>
    <w:rsid w:val="004C5421"/>
    <w:rsid w:val="00530FA4"/>
    <w:rsid w:val="00540D39"/>
    <w:rsid w:val="005A4629"/>
    <w:rsid w:val="005B69FD"/>
    <w:rsid w:val="005E2B2C"/>
    <w:rsid w:val="0061342A"/>
    <w:rsid w:val="006B0F6E"/>
    <w:rsid w:val="006C6F10"/>
    <w:rsid w:val="006F2B2A"/>
    <w:rsid w:val="006F38DB"/>
    <w:rsid w:val="00757809"/>
    <w:rsid w:val="0078029C"/>
    <w:rsid w:val="00793774"/>
    <w:rsid w:val="007B0723"/>
    <w:rsid w:val="007C524D"/>
    <w:rsid w:val="007D62D2"/>
    <w:rsid w:val="00872DD8"/>
    <w:rsid w:val="00876385"/>
    <w:rsid w:val="008C4900"/>
    <w:rsid w:val="0090512B"/>
    <w:rsid w:val="00917697"/>
    <w:rsid w:val="009209AF"/>
    <w:rsid w:val="009329EE"/>
    <w:rsid w:val="00960717"/>
    <w:rsid w:val="00A07D6B"/>
    <w:rsid w:val="00B350C5"/>
    <w:rsid w:val="00B42A06"/>
    <w:rsid w:val="00C649A8"/>
    <w:rsid w:val="00CB6C7E"/>
    <w:rsid w:val="00CD3F5F"/>
    <w:rsid w:val="00D06FD7"/>
    <w:rsid w:val="00D36DBD"/>
    <w:rsid w:val="00D873CD"/>
    <w:rsid w:val="00D91E68"/>
    <w:rsid w:val="00D9465A"/>
    <w:rsid w:val="00DA40C6"/>
    <w:rsid w:val="00DB0391"/>
    <w:rsid w:val="00DD3177"/>
    <w:rsid w:val="00E25F40"/>
    <w:rsid w:val="00E27A0B"/>
    <w:rsid w:val="00E4609E"/>
    <w:rsid w:val="00E74B7E"/>
    <w:rsid w:val="00E84E63"/>
    <w:rsid w:val="00EF3165"/>
    <w:rsid w:val="00F44728"/>
    <w:rsid w:val="00FA0241"/>
    <w:rsid w:val="00FC6B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5B49"/>
  <w15:docId w15:val="{0CFA1F36-B6B3-473F-AA01-0F2F8C30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9F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B69FD"/>
    <w:pPr>
      <w:ind w:left="720"/>
      <w:contextualSpacing/>
    </w:pPr>
  </w:style>
  <w:style w:type="paragraph" w:styleId="NormalWeb">
    <w:name w:val="Normal (Web)"/>
    <w:basedOn w:val="Normal"/>
    <w:uiPriority w:val="99"/>
    <w:rsid w:val="0014788A"/>
    <w:pPr>
      <w:spacing w:before="100" w:beforeAutospacing="1" w:after="100" w:afterAutospacing="1"/>
      <w:ind w:firstLine="567"/>
      <w:jc w:val="both"/>
    </w:pPr>
    <w:rPr>
      <w:rFonts w:ascii="Calibri" w:eastAsia="Times New Roman" w:hAnsi="Calibri" w:cs="Times New Roman"/>
      <w:color w:val="000000"/>
      <w:sz w:val="20"/>
      <w:szCs w:val="20"/>
      <w:lang w:eastAsia="pt-BR"/>
    </w:rPr>
  </w:style>
  <w:style w:type="paragraph" w:styleId="Cabealho">
    <w:name w:val="header"/>
    <w:basedOn w:val="Normal"/>
    <w:link w:val="CabealhoChar"/>
    <w:uiPriority w:val="99"/>
    <w:unhideWhenUsed/>
    <w:rsid w:val="006B0F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0F6E"/>
  </w:style>
  <w:style w:type="paragraph" w:styleId="Rodap">
    <w:name w:val="footer"/>
    <w:basedOn w:val="Normal"/>
    <w:link w:val="RodapChar"/>
    <w:uiPriority w:val="99"/>
    <w:unhideWhenUsed/>
    <w:rsid w:val="006B0F6E"/>
    <w:pPr>
      <w:tabs>
        <w:tab w:val="center" w:pos="4252"/>
        <w:tab w:val="right" w:pos="8504"/>
      </w:tabs>
      <w:spacing w:after="0" w:line="240" w:lineRule="auto"/>
    </w:pPr>
  </w:style>
  <w:style w:type="character" w:customStyle="1" w:styleId="RodapChar">
    <w:name w:val="Rodapé Char"/>
    <w:basedOn w:val="Fontepargpadro"/>
    <w:link w:val="Rodap"/>
    <w:uiPriority w:val="99"/>
    <w:rsid w:val="006B0F6E"/>
  </w:style>
  <w:style w:type="character" w:styleId="Hyperlink">
    <w:name w:val="Hyperlink"/>
    <w:uiPriority w:val="99"/>
    <w:rsid w:val="00757809"/>
    <w:rPr>
      <w:color w:val="0000FF"/>
      <w:u w:val="single"/>
    </w:rPr>
  </w:style>
  <w:style w:type="character" w:styleId="HiperlinkVisitado">
    <w:name w:val="FollowedHyperlink"/>
    <w:basedOn w:val="Fontepargpadro"/>
    <w:uiPriority w:val="99"/>
    <w:semiHidden/>
    <w:unhideWhenUsed/>
    <w:rsid w:val="00DB03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C7623-ED9F-4C39-9EDF-CBBD5781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 Helena Rodrigues Fortes</dc:creator>
  <cp:lastModifiedBy>URH Confiança</cp:lastModifiedBy>
  <cp:revision>5</cp:revision>
  <cp:lastPrinted>2017-10-03T13:15:00Z</cp:lastPrinted>
  <dcterms:created xsi:type="dcterms:W3CDTF">2018-01-29T16:02:00Z</dcterms:created>
  <dcterms:modified xsi:type="dcterms:W3CDTF">2024-04-22T13:45:00Z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380b4d-8a71-4241-982c-3816ad3ce8fc_Enabled">
    <vt:lpwstr>true</vt:lpwstr>
  </property>
  <property fmtid="{D5CDD505-2E9C-101B-9397-08002B2CF9AE}" pid="3" name="MSIP_Label_ff380b4d-8a71-4241-982c-3816ad3ce8fc_SetDate">
    <vt:lpwstr>2024-04-22T13:42:16Z</vt:lpwstr>
  </property>
  <property fmtid="{D5CDD505-2E9C-101B-9397-08002B2CF9AE}" pid="4" name="MSIP_Label_ff380b4d-8a71-4241-982c-3816ad3ce8fc_Method">
    <vt:lpwstr>Standard</vt:lpwstr>
  </property>
  <property fmtid="{D5CDD505-2E9C-101B-9397-08002B2CF9AE}" pid="5" name="MSIP_Label_ff380b4d-8a71-4241-982c-3816ad3ce8fc_Name">
    <vt:lpwstr>defa4170-0d19-0005-0004-bc88714345d2</vt:lpwstr>
  </property>
  <property fmtid="{D5CDD505-2E9C-101B-9397-08002B2CF9AE}" pid="6" name="MSIP_Label_ff380b4d-8a71-4241-982c-3816ad3ce8fc_SiteId">
    <vt:lpwstr>eabe64c5-68f5-4a76-8301-9577a679e449</vt:lpwstr>
  </property>
  <property fmtid="{D5CDD505-2E9C-101B-9397-08002B2CF9AE}" pid="7" name="MSIP_Label_ff380b4d-8a71-4241-982c-3816ad3ce8fc_ActionId">
    <vt:lpwstr>cb83630b-57e9-4b32-a44f-58185d476007</vt:lpwstr>
  </property>
  <property fmtid="{D5CDD505-2E9C-101B-9397-08002B2CF9AE}" pid="8" name="MSIP_Label_ff380b4d-8a71-4241-982c-3816ad3ce8fc_ContentBits">
    <vt:lpwstr>0</vt:lpwstr>
  </property>
</Properties>
</file>