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F1" w:rsidRPr="00466DF1" w:rsidRDefault="00466DF1" w:rsidP="00466DF1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466DF1" w:rsidRPr="00466DF1" w:rsidRDefault="00466DF1" w:rsidP="00466DF1">
      <w:pPr>
        <w:jc w:val="center"/>
        <w:rPr>
          <w:rFonts w:asciiTheme="minorHAnsi" w:hAnsiTheme="minorHAnsi"/>
          <w:b/>
        </w:rPr>
      </w:pPr>
      <w:r w:rsidRPr="00466DF1">
        <w:rPr>
          <w:rFonts w:asciiTheme="minorHAnsi" w:hAnsiTheme="minorHAnsi"/>
          <w:b/>
        </w:rPr>
        <w:t xml:space="preserve">LAUDA PARA ATO DECISÓRIO – ACUMULAÇÃO </w:t>
      </w:r>
      <w:r w:rsidR="009204C9">
        <w:rPr>
          <w:rFonts w:asciiTheme="minorHAnsi" w:hAnsiTheme="minorHAnsi"/>
          <w:b/>
        </w:rPr>
        <w:t>I</w:t>
      </w:r>
      <w:r w:rsidRPr="00466DF1">
        <w:rPr>
          <w:rFonts w:asciiTheme="minorHAnsi" w:hAnsiTheme="minorHAnsi"/>
          <w:b/>
        </w:rPr>
        <w:t>LEGAL</w:t>
      </w:r>
    </w:p>
    <w:p w:rsidR="00466DF1" w:rsidRPr="00466DF1" w:rsidRDefault="00466DF1" w:rsidP="00466DF1">
      <w:pPr>
        <w:jc w:val="center"/>
        <w:rPr>
          <w:rFonts w:asciiTheme="minorHAnsi" w:hAnsiTheme="minorHAnsi"/>
          <w:b/>
        </w:rPr>
      </w:pPr>
    </w:p>
    <w:p w:rsidR="00466DF1" w:rsidRPr="00466DF1" w:rsidRDefault="00466DF1" w:rsidP="00466DF1">
      <w:pPr>
        <w:jc w:val="center"/>
        <w:rPr>
          <w:rFonts w:asciiTheme="minorHAnsi" w:hAnsiTheme="minorHAnsi"/>
          <w:b/>
        </w:rPr>
      </w:pPr>
    </w:p>
    <w:p w:rsidR="00466DF1" w:rsidRPr="00466DF1" w:rsidRDefault="009204C9" w:rsidP="00D12C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466DF1" w:rsidRPr="00466DF1">
        <w:rPr>
          <w:rFonts w:asciiTheme="minorHAnsi" w:hAnsiTheme="minorHAnsi"/>
        </w:rPr>
        <w:t xml:space="preserve"> </w:t>
      </w:r>
      <w:r w:rsidR="00D12CDE">
        <w:rPr>
          <w:rFonts w:asciiTheme="minorHAnsi" w:hAnsiTheme="minorHAnsi" w:cs="Arial"/>
        </w:rPr>
        <w:t>D</w:t>
      </w:r>
      <w:r w:rsidR="00D12CDE" w:rsidRPr="00A43BA6">
        <w:rPr>
          <w:rFonts w:asciiTheme="minorHAnsi" w:hAnsiTheme="minorHAnsi" w:cs="Arial"/>
        </w:rPr>
        <w:t xml:space="preserve">iretor da </w:t>
      </w:r>
      <w:r w:rsidR="00D12CDE">
        <w:rPr>
          <w:rFonts w:asciiTheme="minorHAnsi" w:hAnsiTheme="minorHAnsi" w:cs="Arial"/>
        </w:rPr>
        <w:t>&lt;&lt;</w:t>
      </w:r>
      <w:r w:rsidR="00D12CDE" w:rsidRPr="00A43BA6">
        <w:rPr>
          <w:rFonts w:asciiTheme="minorHAnsi" w:hAnsiTheme="minorHAnsi" w:cs="Arial"/>
        </w:rPr>
        <w:t>UNIDADE DE ENSINO</w:t>
      </w:r>
      <w:r w:rsidR="00D12CDE">
        <w:rPr>
          <w:rFonts w:asciiTheme="minorHAnsi" w:hAnsiTheme="minorHAnsi" w:cs="Arial"/>
        </w:rPr>
        <w:t>&gt;&gt;</w:t>
      </w:r>
      <w:r w:rsidR="00D12CDE" w:rsidRPr="00466DF1">
        <w:rPr>
          <w:rFonts w:asciiTheme="minorHAnsi" w:hAnsiTheme="minorHAnsi" w:cs="Arial"/>
        </w:rPr>
        <w:t>,</w:t>
      </w:r>
      <w:r w:rsidR="00D12CDE">
        <w:rPr>
          <w:rFonts w:asciiTheme="minorHAnsi" w:hAnsiTheme="minorHAnsi" w:cs="Arial"/>
        </w:rPr>
        <w:t xml:space="preserve"> </w:t>
      </w:r>
      <w:r w:rsidR="00D12CDE" w:rsidRPr="00466DF1">
        <w:rPr>
          <w:rFonts w:asciiTheme="minorHAnsi" w:hAnsiTheme="minorHAnsi" w:cs="Arial"/>
        </w:rPr>
        <w:t xml:space="preserve">em </w:t>
      </w:r>
      <w:r w:rsidR="00D12CDE">
        <w:rPr>
          <w:rFonts w:asciiTheme="minorHAnsi" w:hAnsiTheme="minorHAnsi" w:cs="Arial"/>
        </w:rPr>
        <w:t>&lt;&lt;</w:t>
      </w:r>
      <w:r w:rsidR="00D12CDE" w:rsidRPr="00A43BA6">
        <w:rPr>
          <w:rFonts w:asciiTheme="minorHAnsi" w:hAnsiTheme="minorHAnsi" w:cs="Arial"/>
        </w:rPr>
        <w:t>MUNICÍPIO</w:t>
      </w:r>
      <w:r w:rsidR="00D12CDE">
        <w:rPr>
          <w:rFonts w:asciiTheme="minorHAnsi" w:hAnsiTheme="minorHAnsi" w:cs="Arial"/>
        </w:rPr>
        <w:t>&gt;&gt;</w:t>
      </w:r>
      <w:r w:rsidR="00D12CDE"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</w:t>
      </w:r>
      <w:r w:rsidR="00466DF1" w:rsidRPr="00466DF1">
        <w:rPr>
          <w:rFonts w:asciiTheme="minorHAnsi" w:hAnsiTheme="minorHAnsi"/>
        </w:rPr>
        <w:t>, expede o seguinte Ato Decisório:</w:t>
      </w:r>
    </w:p>
    <w:p w:rsidR="00466DF1" w:rsidRPr="00466DF1" w:rsidRDefault="00466DF1" w:rsidP="00466DF1">
      <w:pPr>
        <w:ind w:left="4536" w:hanging="4536"/>
        <w:jc w:val="both"/>
        <w:rPr>
          <w:rFonts w:asciiTheme="minorHAnsi" w:hAnsiTheme="minorHAnsi"/>
          <w:b/>
        </w:rPr>
      </w:pPr>
    </w:p>
    <w:p w:rsidR="00D12CDE" w:rsidRDefault="00466DF1" w:rsidP="00D12CDE">
      <w:pPr>
        <w:jc w:val="both"/>
        <w:rPr>
          <w:rFonts w:asciiTheme="minorHAnsi" w:hAnsiTheme="minorHAnsi" w:cs="Arial"/>
        </w:rPr>
      </w:pPr>
      <w:r w:rsidRPr="00D12CDE">
        <w:rPr>
          <w:rFonts w:asciiTheme="minorHAnsi" w:hAnsiTheme="minorHAnsi" w:cs="Arial"/>
          <w:b/>
        </w:rPr>
        <w:t>Ato Decisório nº ____/20___.</w:t>
      </w:r>
      <w:r w:rsidRPr="00D12CDE">
        <w:rPr>
          <w:rFonts w:asciiTheme="minorHAnsi" w:hAnsiTheme="minorHAnsi" w:cs="Arial"/>
        </w:rPr>
        <w:t xml:space="preserve"> </w:t>
      </w:r>
      <w:r w:rsidR="00D12CDE" w:rsidRPr="00D12CDE">
        <w:rPr>
          <w:rFonts w:asciiTheme="minorHAnsi" w:hAnsiTheme="minorHAnsi" w:cs="Arial"/>
        </w:rPr>
        <w:t>&lt;&lt;NOME DO EMPREGADO&gt;&gt;, RG. &lt;&lt;RG DO EMPREGADO&gt;&gt;, como &lt;&lt;CARGO NO OUTRO ÓRGÃO&gt;&gt;, da &lt;&lt;NOME DO ÓRGÃO (UNIDADE/E.E.</w:t>
      </w:r>
      <w:proofErr w:type="gramStart"/>
      <w:r w:rsidR="00D70A8D">
        <w:rPr>
          <w:rFonts w:asciiTheme="minorHAnsi" w:hAnsiTheme="minorHAnsi" w:cs="Arial"/>
        </w:rPr>
        <w:t>)</w:t>
      </w:r>
      <w:proofErr w:type="gramEnd"/>
      <w:r w:rsidR="00D12CDE" w:rsidRPr="00D12CDE">
        <w:rPr>
          <w:rFonts w:asciiTheme="minorHAnsi" w:hAnsiTheme="minorHAnsi" w:cs="Arial"/>
        </w:rPr>
        <w:t>&gt;&gt;, em &lt;&lt;MUNICIPIO&gt;&gt;, da &lt;&lt;NOME DA SECRETARIA&gt;&gt; e &lt;&lt;EMPREGO PÚBLICO NO CEETEPS&gt;&gt; nesta Unidade</w:t>
      </w:r>
      <w:r w:rsidRPr="00D12CDE">
        <w:rPr>
          <w:rFonts w:asciiTheme="minorHAnsi" w:hAnsiTheme="minorHAnsi" w:cs="Arial"/>
        </w:rPr>
        <w:t xml:space="preserve">. </w:t>
      </w:r>
      <w:r w:rsidR="009204C9">
        <w:rPr>
          <w:rFonts w:asciiTheme="minorHAnsi" w:hAnsiTheme="minorHAnsi" w:cs="Arial"/>
          <w:b/>
        </w:rPr>
        <w:t>A</w:t>
      </w:r>
      <w:r w:rsidR="009204C9" w:rsidRPr="00466DF1">
        <w:rPr>
          <w:rFonts w:asciiTheme="minorHAnsi" w:hAnsiTheme="minorHAnsi" w:cs="Arial"/>
          <w:b/>
        </w:rPr>
        <w:t xml:space="preserve">cumulação </w:t>
      </w:r>
      <w:r w:rsidR="009204C9">
        <w:rPr>
          <w:rFonts w:asciiTheme="minorHAnsi" w:hAnsiTheme="minorHAnsi" w:cs="Arial"/>
          <w:b/>
        </w:rPr>
        <w:t>i</w:t>
      </w:r>
      <w:r w:rsidR="009204C9" w:rsidRPr="00466DF1">
        <w:rPr>
          <w:rFonts w:asciiTheme="minorHAnsi" w:hAnsiTheme="minorHAnsi" w:cs="Arial"/>
          <w:b/>
        </w:rPr>
        <w:t>legal</w:t>
      </w:r>
      <w:r w:rsidR="009204C9" w:rsidRPr="000B424A">
        <w:rPr>
          <w:rFonts w:asciiTheme="minorHAnsi" w:hAnsiTheme="minorHAnsi" w:cs="Arial"/>
        </w:rPr>
        <w:t xml:space="preserve"> </w:t>
      </w:r>
      <w:r w:rsidR="009204C9" w:rsidRPr="00466DF1">
        <w:rPr>
          <w:rFonts w:asciiTheme="minorHAnsi" w:hAnsiTheme="minorHAnsi" w:cs="Arial"/>
        </w:rPr>
        <w:t>por</w:t>
      </w:r>
      <w:r w:rsidR="009204C9" w:rsidRPr="00466DF1">
        <w:rPr>
          <w:rFonts w:asciiTheme="minorHAnsi" w:hAnsiTheme="minorHAnsi" w:cs="Arial"/>
          <w:b/>
        </w:rPr>
        <w:t xml:space="preserve"> </w:t>
      </w:r>
      <w:r w:rsidR="00D70A8D" w:rsidRPr="00BE76B4">
        <w:rPr>
          <w:rFonts w:asciiTheme="minorHAnsi" w:hAnsiTheme="minorHAnsi" w:cs="Arial"/>
        </w:rPr>
        <w:t>&lt;&lt;*POSSÍVEIS MOTIVOS DA ILEGALIDADE&gt;&gt;.</w:t>
      </w:r>
    </w:p>
    <w:p w:rsidR="00F855C2" w:rsidRDefault="00F855C2" w:rsidP="00D12CDE">
      <w:pPr>
        <w:jc w:val="both"/>
        <w:rPr>
          <w:rFonts w:asciiTheme="minorHAnsi" w:hAnsiTheme="minorHAnsi" w:cs="Arial"/>
        </w:rPr>
      </w:pPr>
    </w:p>
    <w:p w:rsidR="00F855C2" w:rsidRDefault="00F855C2" w:rsidP="00D12CDE">
      <w:pPr>
        <w:jc w:val="both"/>
        <w:rPr>
          <w:rFonts w:asciiTheme="minorHAnsi" w:hAnsiTheme="minorHAnsi" w:cs="Arial"/>
        </w:rPr>
      </w:pPr>
    </w:p>
    <w:p w:rsidR="00F855C2" w:rsidRDefault="00F855C2" w:rsidP="00D12CDE">
      <w:pPr>
        <w:jc w:val="both"/>
        <w:rPr>
          <w:rFonts w:asciiTheme="minorHAnsi" w:hAnsiTheme="minorHAnsi" w:cs="Arial"/>
        </w:rPr>
      </w:pPr>
    </w:p>
    <w:p w:rsidR="00F855C2" w:rsidRDefault="00F855C2" w:rsidP="00D12CDE">
      <w:pPr>
        <w:jc w:val="both"/>
        <w:rPr>
          <w:rFonts w:asciiTheme="minorHAnsi" w:hAnsiTheme="minorHAnsi" w:cs="Arial"/>
        </w:rPr>
      </w:pPr>
    </w:p>
    <w:p w:rsidR="00F855C2" w:rsidRDefault="00F855C2" w:rsidP="00D12CDE">
      <w:pPr>
        <w:jc w:val="both"/>
        <w:rPr>
          <w:rFonts w:asciiTheme="minorHAnsi" w:hAnsiTheme="minorHAnsi" w:cs="Arial"/>
        </w:rPr>
      </w:pPr>
    </w:p>
    <w:p w:rsidR="00F855C2" w:rsidRDefault="00F855C2" w:rsidP="00D12CDE">
      <w:pPr>
        <w:jc w:val="both"/>
        <w:rPr>
          <w:rFonts w:asciiTheme="minorHAnsi" w:hAnsiTheme="minorHAnsi" w:cs="Arial"/>
        </w:rPr>
      </w:pPr>
    </w:p>
    <w:p w:rsidR="001B3423" w:rsidRDefault="001B3423" w:rsidP="00F855C2">
      <w:pPr>
        <w:jc w:val="both"/>
        <w:rPr>
          <w:rFonts w:asciiTheme="minorHAnsi" w:hAnsiTheme="minorHAnsi" w:cs="Arial"/>
          <w:sz w:val="16"/>
          <w:szCs w:val="16"/>
        </w:rPr>
      </w:pPr>
    </w:p>
    <w:p w:rsidR="001B3423" w:rsidRDefault="001B3423" w:rsidP="00F855C2">
      <w:pPr>
        <w:jc w:val="both"/>
        <w:rPr>
          <w:rFonts w:asciiTheme="minorHAnsi" w:hAnsiTheme="minorHAnsi" w:cs="Arial"/>
          <w:sz w:val="16"/>
          <w:szCs w:val="16"/>
        </w:rPr>
      </w:pPr>
    </w:p>
    <w:p w:rsidR="001B3423" w:rsidRDefault="001B3423" w:rsidP="00F855C2">
      <w:pPr>
        <w:jc w:val="both"/>
        <w:rPr>
          <w:rFonts w:asciiTheme="minorHAnsi" w:hAnsiTheme="minorHAnsi" w:cs="Arial"/>
        </w:rPr>
      </w:pPr>
      <w:r w:rsidRPr="001B3423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5715</wp:posOffset>
                </wp:positionV>
                <wp:extent cx="3146425" cy="1181100"/>
                <wp:effectExtent l="0" t="0" r="158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23" w:rsidRPr="000B424A" w:rsidRDefault="001B3423" w:rsidP="001B3423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Excluir antes de imprimir</w:t>
                            </w:r>
                          </w:p>
                          <w:p w:rsidR="001B3423" w:rsidRPr="000B424A" w:rsidRDefault="001B3423" w:rsidP="001B3423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u w:val="single"/>
                              </w:rPr>
                              <w:t>Possíveis motivos da ilegalidade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B3423" w:rsidRPr="000B424A" w:rsidRDefault="001B3423" w:rsidP="001B3423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ultrapassar o limite de 64 (sessenta e quatro) horas semanais, estabelecido no artigo 23 da Lei Complementar nº 1.044/2008, alterada pela Lei Complementar nº 1.240/2014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B3423" w:rsidRPr="000B424A" w:rsidRDefault="001B3423" w:rsidP="001B3423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não atender o inciso XVI do artigo 37 da Constituição Federal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/1988.</w:t>
                            </w:r>
                          </w:p>
                          <w:p w:rsidR="001B3423" w:rsidRDefault="001B3423" w:rsidP="001B3423">
                            <w:pPr>
                              <w:jc w:val="both"/>
                            </w:pP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incompatibilidade de horários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0.6pt;margin-top:.45pt;width:247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">
                <v:textbox>
                  <w:txbxContent>
                    <w:p w:rsidR="001B3423" w:rsidRPr="000B424A" w:rsidRDefault="001B3423" w:rsidP="001B3423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  <w:t>Excluir antes de imprimir</w:t>
                      </w:r>
                    </w:p>
                    <w:p w:rsidR="001B3423" w:rsidRPr="000B424A" w:rsidRDefault="001B3423" w:rsidP="001B3423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*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  <w:t>Possíveis motivos da ilegalidade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:</w:t>
                      </w:r>
                    </w:p>
                    <w:p w:rsidR="001B3423" w:rsidRPr="000B424A" w:rsidRDefault="001B3423" w:rsidP="001B3423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1. 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ultrapassar o limite de 64 (sessenta e quatro) horas semanais, estabelecido no artigo 23 da Lei Complementar nº 1.044/2008, alterada pela Lei Complementar nº 1.240/2014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</w:p>
                    <w:p w:rsidR="001B3423" w:rsidRPr="000B424A" w:rsidRDefault="001B3423" w:rsidP="001B3423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2. 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não atender o inciso XVI do artigo 37 da Constituição Federal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/1988.</w:t>
                      </w:r>
                    </w:p>
                    <w:p w:rsidR="001B3423" w:rsidRDefault="001B3423" w:rsidP="001B3423">
                      <w:pPr>
                        <w:jc w:val="both"/>
                      </w:pP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incompatibilidade de horários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3423" w:rsidSect="00D12CDE">
      <w:footerReference w:type="first" r:id="rId12"/>
      <w:pgSz w:w="11907" w:h="16839" w:code="9"/>
      <w:pgMar w:top="567" w:right="902" w:bottom="28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BF" w:rsidRDefault="00AE1CBF">
      <w:r>
        <w:separator/>
      </w:r>
    </w:p>
  </w:endnote>
  <w:endnote w:type="continuationSeparator" w:id="0">
    <w:p w:rsidR="00AE1CBF" w:rsidRDefault="00AE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DE" w:rsidRPr="004D7F1F" w:rsidRDefault="00D12CDE" w:rsidP="00D12CDE">
    <w:pPr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4D7F1F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9204C9" w:rsidRPr="004D7F1F">
      <w:rPr>
        <w:rFonts w:ascii="Arial" w:hAnsi="Arial" w:cs="Arial"/>
        <w:color w:val="BFBFBF" w:themeColor="background1" w:themeShade="BF"/>
        <w:sz w:val="20"/>
        <w:szCs w:val="20"/>
      </w:rPr>
      <w:t>6</w:t>
    </w:r>
    <w:r w:rsidRPr="004D7F1F">
      <w:rPr>
        <w:rFonts w:ascii="Arial" w:hAnsi="Arial" w:cs="Arial"/>
        <w:color w:val="BFBFBF" w:themeColor="background1" w:themeShade="BF"/>
        <w:sz w:val="20"/>
        <w:szCs w:val="20"/>
      </w:rPr>
      <w:t>A</w:t>
    </w:r>
  </w:p>
  <w:p w:rsidR="00D12CDE" w:rsidRDefault="00D12C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BF" w:rsidRDefault="00AE1CBF">
      <w:r>
        <w:separator/>
      </w:r>
    </w:p>
  </w:footnote>
  <w:footnote w:type="continuationSeparator" w:id="0">
    <w:p w:rsidR="00AE1CBF" w:rsidRDefault="00AE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A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955"/>
    <w:multiLevelType w:val="hybridMultilevel"/>
    <w:tmpl w:val="702E255E"/>
    <w:lvl w:ilvl="0" w:tplc="85C0A3A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0B6F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10E0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4549"/>
    <w:multiLevelType w:val="hybridMultilevel"/>
    <w:tmpl w:val="FF923ECE"/>
    <w:lvl w:ilvl="0" w:tplc="A19E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81BB5"/>
    <w:multiLevelType w:val="hybridMultilevel"/>
    <w:tmpl w:val="DE6C85E8"/>
    <w:lvl w:ilvl="0" w:tplc="4A6464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3135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11C723F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B29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2F57ED0"/>
    <w:multiLevelType w:val="hybridMultilevel"/>
    <w:tmpl w:val="A3FA2400"/>
    <w:lvl w:ilvl="0" w:tplc="58647BE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C063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D081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0200"/>
    <w:multiLevelType w:val="hybridMultilevel"/>
    <w:tmpl w:val="29889E72"/>
    <w:lvl w:ilvl="0" w:tplc="3F7A9E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405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695A">
      <w:start w:val="1"/>
      <w:numFmt w:val="decimal"/>
      <w:lvlText w:val="(%5)"/>
      <w:lvlJc w:val="left"/>
      <w:pPr>
        <w:ind w:left="3600" w:hanging="360"/>
      </w:pPr>
      <w:rPr>
        <w:rFonts w:ascii="Arial" w:eastAsia="Times New Roman" w:hAnsi="Arial" w:cs="Arial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F6EE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71AC7"/>
    <w:multiLevelType w:val="hybridMultilevel"/>
    <w:tmpl w:val="E8ACC1E8"/>
    <w:lvl w:ilvl="0" w:tplc="C0B801F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F27E4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7398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352BC"/>
    <w:multiLevelType w:val="hybridMultilevel"/>
    <w:tmpl w:val="552604A8"/>
    <w:lvl w:ilvl="0" w:tplc="A70E46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302C574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E26EC"/>
    <w:multiLevelType w:val="hybridMultilevel"/>
    <w:tmpl w:val="4C642940"/>
    <w:lvl w:ilvl="0" w:tplc="F3A4A3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C813F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5133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826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6D33A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84FA2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A54F3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E6CD7"/>
    <w:multiLevelType w:val="hybridMultilevel"/>
    <w:tmpl w:val="3C62D4B8"/>
    <w:lvl w:ilvl="0" w:tplc="3D3EE2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3B05D8"/>
    <w:multiLevelType w:val="hybridMultilevel"/>
    <w:tmpl w:val="F00E10E0"/>
    <w:lvl w:ilvl="0" w:tplc="D5522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4264E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25357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B62B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6447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61F8B"/>
    <w:multiLevelType w:val="hybridMultilevel"/>
    <w:tmpl w:val="4DEE248A"/>
    <w:lvl w:ilvl="0" w:tplc="57DCFA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236CCA"/>
    <w:multiLevelType w:val="hybridMultilevel"/>
    <w:tmpl w:val="49A48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E6B9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12738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41FFA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662D1D74"/>
    <w:multiLevelType w:val="hybridMultilevel"/>
    <w:tmpl w:val="1EE46F5E"/>
    <w:lvl w:ilvl="0" w:tplc="C15A4BEA">
      <w:start w:val="1"/>
      <w:numFmt w:val="lowerLetter"/>
      <w:pStyle w:val="Estilo1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0">
    <w:nsid w:val="6AAE53C9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702A5770"/>
    <w:multiLevelType w:val="hybridMultilevel"/>
    <w:tmpl w:val="A30CB57C"/>
    <w:lvl w:ilvl="0" w:tplc="05308284">
      <w:start w:val="1"/>
      <w:numFmt w:val="bullet"/>
      <w:pStyle w:val="Estilo2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42">
    <w:nsid w:val="7396061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>
    <w:nsid w:val="748F6CD4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A2B4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</w:num>
  <w:num w:numId="2">
    <w:abstractNumId w:val="41"/>
  </w:num>
  <w:num w:numId="3">
    <w:abstractNumId w:val="12"/>
  </w:num>
  <w:num w:numId="4">
    <w:abstractNumId w:val="34"/>
  </w:num>
  <w:num w:numId="5">
    <w:abstractNumId w:val="37"/>
  </w:num>
  <w:num w:numId="6">
    <w:abstractNumId w:val="18"/>
  </w:num>
  <w:num w:numId="7">
    <w:abstractNumId w:val="9"/>
  </w:num>
  <w:num w:numId="8">
    <w:abstractNumId w:val="40"/>
  </w:num>
  <w:num w:numId="9">
    <w:abstractNumId w:val="43"/>
  </w:num>
  <w:num w:numId="10">
    <w:abstractNumId w:val="14"/>
  </w:num>
  <w:num w:numId="11">
    <w:abstractNumId w:val="24"/>
  </w:num>
  <w:num w:numId="12">
    <w:abstractNumId w:val="13"/>
  </w:num>
  <w:num w:numId="13">
    <w:abstractNumId w:val="26"/>
  </w:num>
  <w:num w:numId="14">
    <w:abstractNumId w:val="15"/>
  </w:num>
  <w:num w:numId="15">
    <w:abstractNumId w:val="17"/>
  </w:num>
  <w:num w:numId="16">
    <w:abstractNumId w:val="20"/>
  </w:num>
  <w:num w:numId="17">
    <w:abstractNumId w:val="33"/>
  </w:num>
  <w:num w:numId="18">
    <w:abstractNumId w:val="28"/>
  </w:num>
  <w:num w:numId="19">
    <w:abstractNumId w:val="8"/>
  </w:num>
  <w:num w:numId="20">
    <w:abstractNumId w:val="5"/>
  </w:num>
  <w:num w:numId="21">
    <w:abstractNumId w:val="27"/>
  </w:num>
  <w:num w:numId="22">
    <w:abstractNumId w:val="1"/>
  </w:num>
  <w:num w:numId="23">
    <w:abstractNumId w:val="19"/>
  </w:num>
  <w:num w:numId="24">
    <w:abstractNumId w:val="42"/>
  </w:num>
  <w:num w:numId="25">
    <w:abstractNumId w:val="31"/>
  </w:num>
  <w:num w:numId="26">
    <w:abstractNumId w:val="0"/>
  </w:num>
  <w:num w:numId="27">
    <w:abstractNumId w:val="2"/>
  </w:num>
  <w:num w:numId="28">
    <w:abstractNumId w:val="6"/>
  </w:num>
  <w:num w:numId="29">
    <w:abstractNumId w:val="3"/>
  </w:num>
  <w:num w:numId="30">
    <w:abstractNumId w:val="25"/>
  </w:num>
  <w:num w:numId="31">
    <w:abstractNumId w:val="32"/>
  </w:num>
  <w:num w:numId="32">
    <w:abstractNumId w:val="38"/>
  </w:num>
  <w:num w:numId="33">
    <w:abstractNumId w:val="44"/>
  </w:num>
  <w:num w:numId="34">
    <w:abstractNumId w:val="22"/>
  </w:num>
  <w:num w:numId="35">
    <w:abstractNumId w:val="7"/>
  </w:num>
  <w:num w:numId="36">
    <w:abstractNumId w:val="10"/>
  </w:num>
  <w:num w:numId="37">
    <w:abstractNumId w:val="21"/>
  </w:num>
  <w:num w:numId="38">
    <w:abstractNumId w:val="16"/>
  </w:num>
  <w:num w:numId="39">
    <w:abstractNumId w:val="30"/>
  </w:num>
  <w:num w:numId="40">
    <w:abstractNumId w:val="36"/>
  </w:num>
  <w:num w:numId="41">
    <w:abstractNumId w:val="11"/>
  </w:num>
  <w:num w:numId="42">
    <w:abstractNumId w:val="29"/>
  </w:num>
  <w:num w:numId="43">
    <w:abstractNumId w:val="35"/>
  </w:num>
  <w:num w:numId="44">
    <w:abstractNumId w:val="23"/>
  </w:num>
  <w:num w:numId="45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F1"/>
    <w:rsid w:val="000070DF"/>
    <w:rsid w:val="001B3423"/>
    <w:rsid w:val="002C0D15"/>
    <w:rsid w:val="00304BAE"/>
    <w:rsid w:val="00330FE8"/>
    <w:rsid w:val="00371099"/>
    <w:rsid w:val="004205E4"/>
    <w:rsid w:val="00466DF1"/>
    <w:rsid w:val="004802E8"/>
    <w:rsid w:val="004D7F1F"/>
    <w:rsid w:val="006A431E"/>
    <w:rsid w:val="006F5885"/>
    <w:rsid w:val="007504A0"/>
    <w:rsid w:val="00801891"/>
    <w:rsid w:val="008D500B"/>
    <w:rsid w:val="009204C9"/>
    <w:rsid w:val="00930F32"/>
    <w:rsid w:val="00AE1CBF"/>
    <w:rsid w:val="00B956BC"/>
    <w:rsid w:val="00D05F8B"/>
    <w:rsid w:val="00D12CDE"/>
    <w:rsid w:val="00D62F23"/>
    <w:rsid w:val="00D70A8D"/>
    <w:rsid w:val="00F50440"/>
    <w:rsid w:val="00F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66DF1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466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66DF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D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66D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66D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66D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rsid w:val="00466DF1"/>
    <w:rPr>
      <w:color w:val="0000FF"/>
      <w:u w:val="single"/>
    </w:rPr>
  </w:style>
  <w:style w:type="paragraph" w:styleId="Cabealho">
    <w:name w:val="header"/>
    <w:basedOn w:val="Normal"/>
    <w:link w:val="CabealhoChar"/>
    <w:rsid w:val="00466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66DF1"/>
  </w:style>
  <w:style w:type="paragraph" w:styleId="NormalWeb">
    <w:name w:val="Normal (Web)"/>
    <w:basedOn w:val="Normal"/>
    <w:rsid w:val="00466D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qFormat/>
    <w:rsid w:val="00466D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rsid w:val="00466DF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6DF1"/>
    <w:pPr>
      <w:tabs>
        <w:tab w:val="right" w:leader="underscore" w:pos="8495"/>
      </w:tabs>
    </w:pPr>
    <w:rPr>
      <w:rFonts w:ascii="Arial" w:hAnsi="Arial" w:cs="Arial"/>
      <w:bCs/>
      <w:noProof/>
      <w:kern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6DF1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6DF1"/>
    <w:pPr>
      <w:ind w:left="480"/>
    </w:pPr>
  </w:style>
  <w:style w:type="character" w:styleId="nfaseIntensa">
    <w:name w:val="Intense Emphasis"/>
    <w:uiPriority w:val="21"/>
    <w:qFormat/>
    <w:rsid w:val="00466DF1"/>
    <w:rPr>
      <w:b/>
      <w:bCs/>
      <w:i/>
      <w:iCs/>
      <w:color w:val="4F81BD"/>
    </w:rPr>
  </w:style>
  <w:style w:type="paragraph" w:styleId="Sumrio5">
    <w:name w:val="toc 5"/>
    <w:basedOn w:val="Normal"/>
    <w:next w:val="Normal"/>
    <w:autoRedefine/>
    <w:uiPriority w:val="39"/>
    <w:unhideWhenUsed/>
    <w:rsid w:val="00466DF1"/>
    <w:pPr>
      <w:ind w:left="96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6DF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rsid w:val="00466DF1"/>
    <w:pPr>
      <w:widowControl w:val="0"/>
      <w:autoSpaceDE w:val="0"/>
      <w:autoSpaceDN w:val="0"/>
      <w:adjustRightInd w:val="0"/>
      <w:spacing w:before="72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6D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6D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6DF1"/>
    <w:pPr>
      <w:ind w:left="1418" w:hanging="2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6DF1"/>
    <w:pPr>
      <w:ind w:hanging="2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6DF1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466DF1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66D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6D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6D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6D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6D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466DF1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Estilo1"/>
    <w:link w:val="Estilo2Char"/>
    <w:qFormat/>
    <w:rsid w:val="00466DF1"/>
    <w:pPr>
      <w:numPr>
        <w:numId w:val="2"/>
      </w:numPr>
    </w:pPr>
  </w:style>
  <w:style w:type="character" w:customStyle="1" w:styleId="Estilo2Char">
    <w:name w:val="Estilo2 Char"/>
    <w:basedOn w:val="Estilo1Char"/>
    <w:link w:val="Estilo2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6D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66DF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Lista">
    <w:name w:val="List"/>
    <w:basedOn w:val="Normal"/>
    <w:rsid w:val="00466DF1"/>
    <w:pPr>
      <w:ind w:left="283" w:hanging="283"/>
    </w:pPr>
    <w:rPr>
      <w:rFonts w:ascii="Book Antiqua" w:hAnsi="Book Antiqu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66DF1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466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66DF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D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66D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66D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66D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rsid w:val="00466DF1"/>
    <w:rPr>
      <w:color w:val="0000FF"/>
      <w:u w:val="single"/>
    </w:rPr>
  </w:style>
  <w:style w:type="paragraph" w:styleId="Cabealho">
    <w:name w:val="header"/>
    <w:basedOn w:val="Normal"/>
    <w:link w:val="CabealhoChar"/>
    <w:rsid w:val="00466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66DF1"/>
  </w:style>
  <w:style w:type="paragraph" w:styleId="NormalWeb">
    <w:name w:val="Normal (Web)"/>
    <w:basedOn w:val="Normal"/>
    <w:rsid w:val="00466D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qFormat/>
    <w:rsid w:val="00466D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rsid w:val="00466DF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6DF1"/>
    <w:pPr>
      <w:tabs>
        <w:tab w:val="right" w:leader="underscore" w:pos="8495"/>
      </w:tabs>
    </w:pPr>
    <w:rPr>
      <w:rFonts w:ascii="Arial" w:hAnsi="Arial" w:cs="Arial"/>
      <w:bCs/>
      <w:noProof/>
      <w:kern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6DF1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6DF1"/>
    <w:pPr>
      <w:ind w:left="480"/>
    </w:pPr>
  </w:style>
  <w:style w:type="character" w:styleId="nfaseIntensa">
    <w:name w:val="Intense Emphasis"/>
    <w:uiPriority w:val="21"/>
    <w:qFormat/>
    <w:rsid w:val="00466DF1"/>
    <w:rPr>
      <w:b/>
      <w:bCs/>
      <w:i/>
      <w:iCs/>
      <w:color w:val="4F81BD"/>
    </w:rPr>
  </w:style>
  <w:style w:type="paragraph" w:styleId="Sumrio5">
    <w:name w:val="toc 5"/>
    <w:basedOn w:val="Normal"/>
    <w:next w:val="Normal"/>
    <w:autoRedefine/>
    <w:uiPriority w:val="39"/>
    <w:unhideWhenUsed/>
    <w:rsid w:val="00466DF1"/>
    <w:pPr>
      <w:ind w:left="96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6DF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rsid w:val="00466DF1"/>
    <w:pPr>
      <w:widowControl w:val="0"/>
      <w:autoSpaceDE w:val="0"/>
      <w:autoSpaceDN w:val="0"/>
      <w:adjustRightInd w:val="0"/>
      <w:spacing w:before="72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6D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6D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6DF1"/>
    <w:pPr>
      <w:ind w:left="1418" w:hanging="2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6DF1"/>
    <w:pPr>
      <w:ind w:hanging="2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6DF1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466DF1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66D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6D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6D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6D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6D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466DF1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Estilo1"/>
    <w:link w:val="Estilo2Char"/>
    <w:qFormat/>
    <w:rsid w:val="00466DF1"/>
    <w:pPr>
      <w:numPr>
        <w:numId w:val="2"/>
      </w:numPr>
    </w:pPr>
  </w:style>
  <w:style w:type="character" w:customStyle="1" w:styleId="Estilo2Char">
    <w:name w:val="Estilo2 Char"/>
    <w:basedOn w:val="Estilo1Char"/>
    <w:link w:val="Estilo2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6D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66DF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Lista">
    <w:name w:val="List"/>
    <w:basedOn w:val="Normal"/>
    <w:rsid w:val="00466DF1"/>
    <w:pPr>
      <w:ind w:left="283" w:hanging="283"/>
    </w:pPr>
    <w:rPr>
      <w:rFonts w:ascii="Book Antiqua" w:hAnsi="Book Antiqu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E506-2186-41A0-A071-A25CCBD18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E8CCE-62A7-46AC-8A60-C42941E19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1E9D21-3849-480D-8191-F20204762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C5768-53CD-44AE-9436-EE0CB6D6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Andreia Vieira fredo</cp:lastModifiedBy>
  <cp:revision>11</cp:revision>
  <dcterms:created xsi:type="dcterms:W3CDTF">2014-11-14T13:06:00Z</dcterms:created>
  <dcterms:modified xsi:type="dcterms:W3CDTF">2015-10-02T13:59:00Z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